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A3" w:rsidRDefault="00AD72F0">
      <w:pPr>
        <w:pStyle w:val="Titel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Muster einer Änderungssatzung der Prüfungs- und Studienordnung (PSO)</w:t>
      </w:r>
    </w:p>
    <w:p w:rsidR="00FA08A3" w:rsidRDefault="00FA08A3"/>
    <w:p w:rsidR="00FA08A3" w:rsidRDefault="00AD72F0">
      <w:r>
        <w:rPr>
          <w:rFonts w:cstheme="minorHAnsi"/>
          <w:highlight w:val="yellow"/>
        </w:rPr>
        <w:t>[</w:t>
      </w:r>
      <w:r>
        <w:rPr>
          <w:highlight w:val="yellow"/>
        </w:rPr>
        <w:t>….</w:t>
      </w:r>
      <w:r>
        <w:rPr>
          <w:rFonts w:cstheme="minorHAnsi"/>
          <w:highlight w:val="yellow"/>
        </w:rPr>
        <w:t>]</w:t>
      </w:r>
      <w:r>
        <w:t xml:space="preserve"> redaktionelle Anmerkung, die noch der Aktualisierung durch Fachverantwortliche bedarf</w:t>
      </w:r>
    </w:p>
    <w:p w:rsidR="00FA08A3" w:rsidRDefault="00AD72F0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t>xxx</w:t>
      </w:r>
      <w:r>
        <w:rPr>
          <w:rFonts w:cstheme="minorHAnsi"/>
        </w:rPr>
        <w:t xml:space="preserve"> redaktionelle Aktualisierung erfolgt im Verfahrensgang der Studienkommission des Senats</w:t>
      </w:r>
    </w:p>
    <w:p w:rsidR="00FA08A3" w:rsidRDefault="00FA08A3"/>
    <w:p w:rsidR="00FA08A3" w:rsidRDefault="00AD72F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x-te]</w:t>
      </w:r>
      <w:r>
        <w:rPr>
          <w:rFonts w:ascii="Arial" w:eastAsia="Arial" w:hAnsi="Arial" w:cs="Arial"/>
          <w:b/>
          <w:sz w:val="24"/>
          <w:szCs w:val="24"/>
        </w:rPr>
        <w:t xml:space="preserve"> Satzung zur der Änderung der Prüfungs- und Studienordnung für den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[Bachelor/Master]</w:t>
      </w:r>
      <w:r>
        <w:rPr>
          <w:rFonts w:ascii="Arial" w:eastAsia="Arial" w:hAnsi="Arial" w:cs="Arial"/>
          <w:b/>
          <w:sz w:val="24"/>
          <w:szCs w:val="24"/>
        </w:rPr>
        <w:t>studiengang „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[Name des Studiengangs gemäß PSO]</w:t>
      </w:r>
      <w:r>
        <w:rPr>
          <w:rFonts w:ascii="Arial" w:eastAsia="Arial" w:hAnsi="Arial" w:cs="Arial"/>
          <w:b/>
          <w:sz w:val="24"/>
          <w:szCs w:val="24"/>
        </w:rPr>
        <w:t xml:space="preserve">“ an der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[Ernst-Moritz-Arndt-]</w:t>
      </w:r>
      <w:r>
        <w:rPr>
          <w:rFonts w:ascii="Arial" w:eastAsia="Arial" w:hAnsi="Arial" w:cs="Arial"/>
          <w:b/>
          <w:sz w:val="24"/>
          <w:szCs w:val="24"/>
        </w:rPr>
        <w:t>Universität Greifswald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Vom </w:t>
      </w:r>
      <w:r>
        <w:rPr>
          <w:rFonts w:ascii="Arial" w:eastAsia="Arial" w:hAnsi="Arial" w:cs="Arial"/>
          <w:sz w:val="24"/>
          <w:szCs w:val="24"/>
          <w:highlight w:val="yellow"/>
        </w:rPr>
        <w:t>[dd. Monatsname yyyy]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Aufgrund von § 2 Absatz 1 in Verbindung </w:t>
      </w:r>
      <w:r>
        <w:rPr>
          <w:rFonts w:ascii="Arial" w:eastAsia="Arial" w:hAnsi="Arial" w:cs="Arial"/>
          <w:sz w:val="24"/>
          <w:szCs w:val="24"/>
        </w:rPr>
        <w:t>mit § 39 Absatz 1 des Gesetzes über die Hochschulen des Landes Mecklenburg-Vorpommern (Landeshochschulgesetz – LHG M-V) in der Fassung der Bekanntmachung vom 25. Januar 2011 (GVOBI. M-V S. 18), zuletzt geändert durch Gesetz vom 21. Juni 2021 (GVOBl. M-V S.</w:t>
      </w:r>
      <w:r>
        <w:rPr>
          <w:rFonts w:ascii="Arial" w:eastAsia="Arial" w:hAnsi="Arial" w:cs="Arial"/>
          <w:sz w:val="24"/>
          <w:szCs w:val="24"/>
        </w:rPr>
        <w:t xml:space="preserve"> 1018), erlässt die Universität Greifswald folgende Satzung: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Artikel 1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Die Prüfungs- und Studienordnung für den </w:t>
      </w:r>
      <w:r>
        <w:rPr>
          <w:rFonts w:ascii="Arial" w:eastAsia="Arial" w:hAnsi="Arial" w:cs="Arial"/>
          <w:sz w:val="24"/>
          <w:szCs w:val="24"/>
          <w:highlight w:val="yellow"/>
        </w:rPr>
        <w:t>[Bachelor/Master]</w:t>
      </w:r>
      <w:r>
        <w:rPr>
          <w:rFonts w:ascii="Arial" w:eastAsia="Arial" w:hAnsi="Arial" w:cs="Arial"/>
          <w:sz w:val="24"/>
          <w:szCs w:val="24"/>
        </w:rPr>
        <w:t>studiengang „</w:t>
      </w:r>
      <w:r>
        <w:rPr>
          <w:rFonts w:ascii="Arial" w:eastAsia="Arial" w:hAnsi="Arial" w:cs="Arial"/>
          <w:sz w:val="24"/>
          <w:szCs w:val="24"/>
          <w:highlight w:val="yellow"/>
        </w:rPr>
        <w:t>[Name des Studiengangs gemäß PSO]</w:t>
      </w:r>
      <w:r>
        <w:rPr>
          <w:rFonts w:ascii="Arial" w:eastAsia="Arial" w:hAnsi="Arial" w:cs="Arial"/>
          <w:sz w:val="24"/>
          <w:szCs w:val="24"/>
        </w:rPr>
        <w:t xml:space="preserve">“ an der </w:t>
      </w:r>
      <w:r>
        <w:rPr>
          <w:rFonts w:ascii="Arial" w:eastAsia="Arial" w:hAnsi="Arial" w:cs="Arial"/>
          <w:sz w:val="24"/>
          <w:szCs w:val="24"/>
          <w:highlight w:val="yellow"/>
        </w:rPr>
        <w:t>[Ernst-Moritz-Arndt-]</w:t>
      </w:r>
      <w:r>
        <w:rPr>
          <w:rFonts w:ascii="Arial" w:eastAsia="Arial" w:hAnsi="Arial" w:cs="Arial"/>
          <w:sz w:val="24"/>
          <w:szCs w:val="24"/>
        </w:rPr>
        <w:t xml:space="preserve">Universität Greifswald vom </w:t>
      </w:r>
      <w:r>
        <w:rPr>
          <w:rFonts w:ascii="Arial" w:eastAsia="Arial" w:hAnsi="Arial" w:cs="Arial"/>
          <w:sz w:val="24"/>
          <w:szCs w:val="24"/>
          <w:highlight w:val="yellow"/>
        </w:rPr>
        <w:t>[dd. Monatsname yyyy]</w:t>
      </w:r>
      <w:r>
        <w:rPr>
          <w:rFonts w:ascii="Arial" w:eastAsia="Arial" w:hAnsi="Arial" w:cs="Arial"/>
          <w:sz w:val="24"/>
          <w:szCs w:val="24"/>
        </w:rPr>
        <w:t xml:space="preserve"> (hochschulöffentlich bekannt gemacht am </w:t>
      </w:r>
      <w:r>
        <w:rPr>
          <w:rFonts w:ascii="Arial" w:eastAsia="Arial" w:hAnsi="Arial" w:cs="Arial"/>
          <w:sz w:val="24"/>
          <w:szCs w:val="24"/>
          <w:highlight w:val="yellow"/>
        </w:rPr>
        <w:t>[dd.mm.yyyy]</w:t>
      </w:r>
      <w:r>
        <w:rPr>
          <w:rFonts w:ascii="Arial" w:eastAsia="Arial" w:hAnsi="Arial" w:cs="Arial"/>
          <w:sz w:val="24"/>
          <w:szCs w:val="24"/>
        </w:rPr>
        <w:t>), wird wie folgt geändert: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  <w:highlight w:val="yellow"/>
        </w:rPr>
      </w:pPr>
    </w:p>
    <w:p w:rsidR="00FA08A3" w:rsidRDefault="00AD72F0">
      <w:pPr>
        <w:pStyle w:val="KeinLeerraum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[….]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Artikel 2</w:t>
      </w:r>
    </w:p>
    <w:p w:rsidR="00FA08A3" w:rsidRDefault="00AD72F0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Inkrafttreten/Übergangsregelungen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 Diese Änderungssatzung tritt am Tage nach ihrer hochschulöffentlichen Bekanntmachung in Kraft.</w:t>
      </w:r>
    </w:p>
    <w:p w:rsidR="00FA08A3" w:rsidRDefault="00FA08A3">
      <w:pPr>
        <w:pStyle w:val="KeinLeerraum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A08A3" w:rsidRDefault="00AD72F0">
      <w:pPr>
        <w:pStyle w:val="KeinLeerraum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 Sie gilt für alle S</w:t>
      </w:r>
      <w:r>
        <w:rPr>
          <w:rFonts w:ascii="Arial" w:eastAsia="Arial" w:hAnsi="Arial" w:cs="Arial"/>
          <w:sz w:val="24"/>
          <w:szCs w:val="24"/>
        </w:rPr>
        <w:t xml:space="preserve">tudierenden, die sich ab dem </w:t>
      </w:r>
      <w:r>
        <w:rPr>
          <w:rFonts w:ascii="Arial" w:eastAsia="Arial" w:hAnsi="Arial" w:cs="Arial"/>
          <w:sz w:val="24"/>
          <w:szCs w:val="24"/>
          <w:highlight w:val="yellow"/>
        </w:rPr>
        <w:t>[Winter/Sommer]</w:t>
      </w:r>
      <w:r>
        <w:rPr>
          <w:rFonts w:ascii="Arial" w:eastAsia="Arial" w:hAnsi="Arial" w:cs="Arial"/>
          <w:sz w:val="24"/>
          <w:szCs w:val="24"/>
        </w:rPr>
        <w:t xml:space="preserve">semester </w:t>
      </w:r>
      <w:r>
        <w:rPr>
          <w:rFonts w:ascii="Arial" w:eastAsia="Arial" w:hAnsi="Arial" w:cs="Arial"/>
          <w:sz w:val="24"/>
          <w:szCs w:val="24"/>
          <w:highlight w:val="yellow"/>
        </w:rPr>
        <w:t>[….]</w:t>
      </w:r>
      <w:r>
        <w:rPr>
          <w:rFonts w:ascii="Arial" w:eastAsia="Arial" w:hAnsi="Arial" w:cs="Arial"/>
          <w:sz w:val="24"/>
          <w:szCs w:val="24"/>
        </w:rPr>
        <w:t xml:space="preserve"> im ersten Fachsemester immatrikulieren.</w:t>
      </w:r>
    </w:p>
    <w:p w:rsidR="00FA08A3" w:rsidRDefault="00FA08A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(3) Für vor dem Inkrafttreten eingeschriebene Studierende gilt </w:t>
      </w:r>
      <w:r>
        <w:rPr>
          <w:rFonts w:ascii="Arial" w:eastAsia="Arial" w:hAnsi="Arial" w:cs="Arial"/>
          <w:sz w:val="24"/>
          <w:szCs w:val="24"/>
          <w:highlight w:val="yellow"/>
        </w:rPr>
        <w:t>[….]</w:t>
      </w:r>
    </w:p>
    <w:p w:rsidR="00FA08A3" w:rsidRDefault="00FA08A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FA08A3" w:rsidRDefault="00FA08A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Ausgefertigt aufgrund des Beschlusses der Studienkommission vom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, der mit Beschluss des Senats vom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 gemäß § 81 Absatz 7 LHG M-V und § 20 Absatz 1 Satz 2 der Grundordnung die Befugnis zur Beschlussfassung verliehen wurde, und der Genehmigung der Rektorin vom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  <w:r>
        <w:rPr>
          <w:rFonts w:ascii="Arial" w:eastAsia="Arial" w:hAnsi="Arial" w:cs="Arial"/>
          <w:sz w:val="24"/>
          <w:szCs w:val="24"/>
        </w:rPr>
        <w:t>.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Greifswald, den </w:t>
      </w:r>
      <w:r>
        <w:rPr>
          <w:rFonts w:ascii="Arial" w:eastAsia="Arial" w:hAnsi="Arial" w:cs="Arial"/>
          <w:sz w:val="24"/>
          <w:szCs w:val="24"/>
          <w:highlight w:val="yellow"/>
        </w:rPr>
        <w:t>xxx</w:t>
      </w:r>
    </w:p>
    <w:p w:rsidR="00FA08A3" w:rsidRDefault="00FA08A3">
      <w:pPr>
        <w:pStyle w:val="KeinLeerraum"/>
        <w:rPr>
          <w:rFonts w:ascii="Arial" w:eastAsia="Arial" w:hAnsi="Arial" w:cs="Arial"/>
          <w:sz w:val="24"/>
          <w:szCs w:val="24"/>
        </w:rPr>
      </w:pPr>
    </w:p>
    <w:p w:rsidR="00FA08A3" w:rsidRDefault="00FA08A3">
      <w:pPr>
        <w:pStyle w:val="KeinLeerraum"/>
        <w:rPr>
          <w:rFonts w:ascii="Arial" w:eastAsia="Arial" w:hAnsi="Arial" w:cs="Arial"/>
          <w:sz w:val="24"/>
          <w:szCs w:val="24"/>
        </w:rPr>
      </w:pPr>
    </w:p>
    <w:p w:rsidR="00FA08A3" w:rsidRDefault="00FA08A3">
      <w:pPr>
        <w:pStyle w:val="KeinLeerraum"/>
        <w:rPr>
          <w:rFonts w:ascii="Arial" w:eastAsia="Arial" w:hAnsi="Arial" w:cs="Arial"/>
          <w:sz w:val="24"/>
          <w:szCs w:val="24"/>
        </w:rPr>
      </w:pPr>
    </w:p>
    <w:p w:rsidR="00FA08A3" w:rsidRDefault="00AD72F0">
      <w:pPr>
        <w:pStyle w:val="KeinLeerraum"/>
        <w:jc w:val="center"/>
      </w:pPr>
      <w:r>
        <w:rPr>
          <w:rFonts w:ascii="Arial" w:eastAsia="Arial" w:hAnsi="Arial" w:cs="Arial"/>
          <w:b/>
          <w:color w:val="000000"/>
          <w:sz w:val="24"/>
        </w:rPr>
        <w:lastRenderedPageBreak/>
        <w:t xml:space="preserve">Die Rektorin </w:t>
      </w:r>
    </w:p>
    <w:p w:rsidR="00FA08A3" w:rsidRDefault="00AD72F0">
      <w:pPr>
        <w:pStyle w:val="KeinLeerraum"/>
        <w:jc w:val="center"/>
      </w:pPr>
      <w:r>
        <w:rPr>
          <w:rFonts w:ascii="Arial" w:eastAsia="Arial" w:hAnsi="Arial" w:cs="Arial"/>
          <w:b/>
          <w:color w:val="000000"/>
          <w:sz w:val="24"/>
        </w:rPr>
        <w:t xml:space="preserve">der Universität </w:t>
      </w:r>
      <w:r>
        <w:rPr>
          <w:rFonts w:ascii="Arial" w:eastAsia="Arial" w:hAnsi="Arial" w:cs="Arial"/>
          <w:b/>
          <w:color w:val="000000"/>
          <w:sz w:val="24"/>
        </w:rPr>
        <w:t>Greifswald</w:t>
      </w:r>
    </w:p>
    <w:p w:rsidR="00FA08A3" w:rsidRDefault="00AD72F0">
      <w:pPr>
        <w:pStyle w:val="KeinLeerraum"/>
        <w:jc w:val="center"/>
      </w:pPr>
      <w:r>
        <w:rPr>
          <w:rFonts w:ascii="Arial" w:eastAsia="Arial" w:hAnsi="Arial" w:cs="Arial"/>
          <w:b/>
          <w:color w:val="000000"/>
          <w:sz w:val="24"/>
        </w:rPr>
        <w:t>Universitätsprofessorin Dr. rer. nat. Katharina Riedel</w:t>
      </w:r>
    </w:p>
    <w:p w:rsidR="00FA08A3" w:rsidRDefault="00FA08A3">
      <w:pPr>
        <w:pStyle w:val="KeinLeerraum"/>
        <w:rPr>
          <w:rFonts w:ascii="Arial" w:hAnsi="Arial" w:cs="Arial"/>
        </w:rPr>
      </w:pP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p w:rsidR="00FA08A3" w:rsidRDefault="00AD72F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Veröffentlichungsvermerk: Hochschulöffentlich bekannt gemacht am xxx</w:t>
      </w:r>
    </w:p>
    <w:p w:rsidR="00FA08A3" w:rsidRDefault="00FA08A3">
      <w:pPr>
        <w:pStyle w:val="KeinLeerraum"/>
        <w:rPr>
          <w:rFonts w:ascii="Arial" w:hAnsi="Arial" w:cs="Arial"/>
          <w:sz w:val="24"/>
          <w:szCs w:val="24"/>
        </w:rPr>
      </w:pPr>
    </w:p>
    <w:sectPr w:rsidR="00FA08A3">
      <w:footerReference w:type="default" r:id="rId6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A3" w:rsidRDefault="00AD72F0">
      <w:pPr>
        <w:spacing w:after="0" w:line="240" w:lineRule="auto"/>
      </w:pPr>
      <w:r>
        <w:separator/>
      </w:r>
    </w:p>
  </w:endnote>
  <w:endnote w:type="continuationSeparator" w:id="0">
    <w:p w:rsidR="00FA08A3" w:rsidRDefault="00AD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A3" w:rsidRDefault="00AD72F0">
    <w:pPr>
      <w:pStyle w:val="Fuzeile"/>
      <w:jc w:val="right"/>
      <w:rPr>
        <w:rFonts w:ascii="Arial" w:hAnsi="Arial" w:cs="Arial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AD72F0">
      <w:rPr>
        <w:rFonts w:ascii="Arial" w:eastAsia="Arial" w:hAnsi="Arial" w:cs="Arial"/>
        <w:noProof/>
        <w:sz w:val="24"/>
        <w:szCs w:val="24"/>
      </w:rPr>
      <w:t>2</w:t>
    </w:r>
    <w:r>
      <w:rPr>
        <w:rFonts w:ascii="Arial" w:eastAsia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A3" w:rsidRDefault="00AD72F0">
      <w:pPr>
        <w:spacing w:after="0" w:line="240" w:lineRule="auto"/>
      </w:pPr>
      <w:r>
        <w:separator/>
      </w:r>
    </w:p>
  </w:footnote>
  <w:footnote w:type="continuationSeparator" w:id="0">
    <w:p w:rsidR="00FA08A3" w:rsidRDefault="00AD7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A3"/>
    <w:rsid w:val="00AD72F0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BD1C-7734-4C70-80B9-3D6E00D9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Andreas Fritsch</cp:lastModifiedBy>
  <cp:revision>2</cp:revision>
  <dcterms:created xsi:type="dcterms:W3CDTF">2023-07-19T14:11:00Z</dcterms:created>
  <dcterms:modified xsi:type="dcterms:W3CDTF">2023-07-19T14:11:00Z</dcterms:modified>
</cp:coreProperties>
</file>